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199/XLIV/2022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14 grudnia 2022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 xml:space="preserve">w sprawie dokonania wyboru metody ustalenia opłaty za gospodarowanie odpadami komunalnymi i ustalenia stawki takiej opłaty oraz ustalenia ryczałtowej stawki opłaty za gospodarowanie odpadami komunalnymi w przypadku nieruchomości, na której znajduje się domek letniskowy lub innej nieruchomości wykorzystywanej na cele </w:t>
      </w:r>
      <w:proofErr w:type="spellStart"/>
      <w:r>
        <w:rPr>
          <w:b/>
        </w:rPr>
        <w:t>rekreacyjno</w:t>
      </w:r>
      <w:proofErr w:type="spellEnd"/>
      <w:r>
        <w:rPr>
          <w:b/>
        </w:rPr>
        <w:t xml:space="preserve"> - wypoczynkowe na terenie Gminy Pacyna oraz zwolnienia w części z opłaty za gospodarowanie odpadami komunalnymi właścicieli nieruchomości zabudowanych budynkami mieszkalnymi jednorodzinnymi kompostujących bioodpady stanowiące odpady komunalne w kompostowniku przydomowym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15, art. 40 ust. 1 i art. 41 ust. 1 ustawy z dnia 8 marca 1990r. o samorządzie gminnym (Dz. U. z 2022 r. poz. 559 z </w:t>
      </w:r>
      <w:proofErr w:type="spellStart"/>
      <w:r>
        <w:t>późn</w:t>
      </w:r>
      <w:proofErr w:type="spellEnd"/>
      <w:r>
        <w:t>. zm.) oraz art. 6k ust. 1 pkt 1, ust. 2, ust. 2a pkt 1, ust. 3, ust. 4a i art. 6j ust. 3b w związku z art. 6j ust. 1 pkt 1 ustawy z dnia 13 września 1996 r. o utrzymaniu czystości i porządku w gminach (Dz. U. z 2022 r. poz. 1297 z </w:t>
      </w:r>
      <w:proofErr w:type="spellStart"/>
      <w:r>
        <w:t>późn</w:t>
      </w:r>
      <w:proofErr w:type="spellEnd"/>
      <w:r>
        <w:t>. zm.)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Dokonuje się wyboru metody ustalenia opłaty za gospodarowanie odpadami komunalnymi ponoszonej przez właścicieli nieruchomości, na której zamieszkują mieszkańcy w taki sposób, że opłata za gospodarowanie odpadami komunalnymi stanowi iloczyn liczby mieszkańców zamieszkujących daną nieruchomość, oraz stawki opłaty ustalonej w § 2 ust. 1 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Ustala się stawkę opłaty za gospodarowanie odpadami komunalnymi na nieruchomości, na kt</w:t>
      </w:r>
      <w:r w:rsidR="00E51E14">
        <w:t>ó</w:t>
      </w:r>
      <w:r>
        <w:t>rej zamieszkują mieszkańcy, jeżeli odpady są zbierane i odbierane w sposób selektywny, w wysokości</w:t>
      </w:r>
      <w:r>
        <w:rPr>
          <w:b/>
          <w:color w:val="000000"/>
          <w:u w:color="000000"/>
        </w:rPr>
        <w:t xml:space="preserve"> 22,00 zł</w:t>
      </w:r>
      <w:r>
        <w:rPr>
          <w:color w:val="000000"/>
          <w:u w:color="000000"/>
        </w:rPr>
        <w:t xml:space="preserve"> miesięcznie od każdej osoby zamieszkującej daną nieruchomość.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Ustala się podwyższoną stawkę opłaty za gospodarowanie odpadami komunalnymi na nieruchomości, na której zamieszkują mieszkańcy, jeżeli właściciel nieruchomości nie wypełnia obowiązku zbierania odpadów komunalnych w sposób selektywny, w wysokości </w:t>
      </w:r>
      <w:r>
        <w:rPr>
          <w:b/>
          <w:color w:val="000000"/>
          <w:u w:color="000000"/>
        </w:rPr>
        <w:t>44,00 zł</w:t>
      </w:r>
      <w:r>
        <w:rPr>
          <w:color w:val="000000"/>
          <w:u w:color="000000"/>
        </w:rPr>
        <w:t xml:space="preserve"> miesięcznie od każdej osoby zamieszkującej daną nieruchomość.</w:t>
      </w:r>
      <w:r>
        <w:rPr>
          <w:color w:val="000000"/>
          <w:u w:color="000000"/>
        </w:rPr>
        <w:tab/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Zwalnia się w części z opłaty za gospodarowanie odpadami komunalnymi właścicieli nieruchomości, zabudowanych budynkami mieszkalnymi jednorodzinnymi, kompostujących bioodpady stanowiące odpady komunalne w kompostowniku przydomowym.</w:t>
      </w:r>
      <w:r>
        <w:rPr>
          <w:color w:val="000000"/>
          <w:u w:color="000000"/>
        </w:rPr>
        <w:tab/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Zwolnienie, o którym mowa w ust 3, wynosi </w:t>
      </w:r>
      <w:r>
        <w:rPr>
          <w:b/>
          <w:color w:val="000000"/>
          <w:u w:color="000000"/>
        </w:rPr>
        <w:t>1,00 zł</w:t>
      </w:r>
      <w:r>
        <w:rPr>
          <w:color w:val="000000"/>
          <w:u w:color="000000"/>
        </w:rPr>
        <w:t xml:space="preserve"> miesięcznie od obowiązującej opłaty. 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Ustala się ryczałtową stawkę opłaty za gospodarowanie odpadami komunalnymi od domku letniskowego na nieruchomości albo od innej nieruchomości wykorzystywanej na cele rekreacyjno-wypoczynkowe, jeżeli odpady są zbierane i odbierane w sposób selektywny, w wysokości </w:t>
      </w:r>
      <w:r>
        <w:rPr>
          <w:b/>
          <w:color w:val="000000"/>
          <w:u w:color="000000"/>
        </w:rPr>
        <w:t>185,00 zł</w:t>
      </w:r>
      <w:r>
        <w:rPr>
          <w:color w:val="000000"/>
          <w:u w:color="000000"/>
        </w:rPr>
        <w:t xml:space="preserve"> za rok od domku letniskowego na nieruchomości albo od innej nieruchomości wykorzystywanej na cele rekreacyjno-wypoczynkowe.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Ustala się podwyższoną stawkę opłaty za gospodarowanie odpadami komunalnymi od domku letniskowego na nieruchomości albo od innej nieruchomości wykorzystywanej na cele </w:t>
      </w:r>
      <w:proofErr w:type="spellStart"/>
      <w:r>
        <w:rPr>
          <w:color w:val="000000"/>
          <w:u w:color="000000"/>
        </w:rPr>
        <w:t>rekreacyjno</w:t>
      </w:r>
      <w:proofErr w:type="spellEnd"/>
      <w:r>
        <w:rPr>
          <w:color w:val="000000"/>
          <w:u w:color="000000"/>
        </w:rPr>
        <w:t xml:space="preserve"> - wypoczynkowe, jeżeli właściciel nieruchomości nie wypełnia obowiązku zbierania odpadów komunalnych w sposób selektywny, w wysokości </w:t>
      </w:r>
      <w:r>
        <w:rPr>
          <w:b/>
          <w:color w:val="000000"/>
          <w:u w:color="000000"/>
        </w:rPr>
        <w:t>370,00 zł</w:t>
      </w:r>
      <w:r>
        <w:rPr>
          <w:color w:val="000000"/>
          <w:u w:color="000000"/>
        </w:rPr>
        <w:t xml:space="preserve"> za rok od domku letniskowego na nieruchomości albo od innej nieruchomości wykorzystywanej na cele rekreacyjno-wypoczynkowe.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Traci moc uchwała Nr 145/XXVII/2021 Rady Gminy Pacyna z dnia 17 grudnia 2021 r. w sprawie dokonania wyboru metody ustalenia opłaty za gospodarowanie odpadami komunalnymi i ustalenia stawki takiej opłaty oraz ustalenia ryczałtowej stawki opłaty za gospodarowanie odpadami komunalnymi w przypadku nieruchomości, na której znajduje się domek letniskowy lub innej nieruchomości wykorzystywanej na cele </w:t>
      </w:r>
      <w:proofErr w:type="spellStart"/>
      <w:r>
        <w:rPr>
          <w:color w:val="000000"/>
          <w:u w:color="000000"/>
        </w:rPr>
        <w:t>rekreacyjno</w:t>
      </w:r>
      <w:proofErr w:type="spellEnd"/>
      <w:r>
        <w:rPr>
          <w:color w:val="000000"/>
          <w:u w:color="000000"/>
        </w:rPr>
        <w:t xml:space="preserve"> - wypoczynkowe na terenie Gminy Pacyna oraz zwolnienia w części z opłaty za gospodarowanie odpadami komunalnymi właścicieli nieruchomości zabudowanych budynkami mieszkalnymi jednorodzinnymi kompostujących bioodpady stanowiące odpady komunalne w kompostowniku przydomowym (Dz. Urz. Woj. </w:t>
      </w:r>
      <w:proofErr w:type="spellStart"/>
      <w:r>
        <w:rPr>
          <w:color w:val="000000"/>
          <w:u w:color="000000"/>
        </w:rPr>
        <w:t>Maz</w:t>
      </w:r>
      <w:proofErr w:type="spellEnd"/>
      <w:r>
        <w:rPr>
          <w:color w:val="000000"/>
          <w:u w:color="000000"/>
        </w:rPr>
        <w:t>. z 2021 r. poz. 12047).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 Pacyna.</w:t>
      </w:r>
      <w:r>
        <w:rPr>
          <w:color w:val="000000"/>
          <w:u w:color="000000"/>
        </w:rPr>
        <w:tab/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>Uchwała podlega ogłoszeniu w Dzienniku Urzędowym Województwa Mazowieckiego i wchodzi w życie z dniem 1 stycznia 2023 r.</w:t>
      </w:r>
      <w:r>
        <w:rPr>
          <w:color w:val="000000"/>
          <w:u w:color="000000"/>
        </w:rPr>
        <w:tab/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A055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0554" w:rsidRDefault="00EA055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055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EA0554" w:rsidRDefault="00EA055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EA0554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EA0554" w:rsidRDefault="00000000">
      <w:pPr>
        <w:tabs>
          <w:tab w:val="left" w:pos="5670"/>
        </w:tabs>
        <w:spacing w:after="100" w:line="100" w:lineRule="atLeas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Ustawa z dnia 13 września 1996 r. o utrzymaniu czystości i porządku w gminach (Dz. U. z 2022 r. poz. 1297 z 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późn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 zm.) zobowiązuje radę gminy do dokonania w drodze uchwały wyboru metody ustalania opłaty za gospodarowanie odpadami komunalnymi spośród metod określonych w art. 6j ust. 1 ww. ustawy oraz ustalenia stawki takiej opłaty.</w:t>
      </w:r>
    </w:p>
    <w:p w:rsidR="00EA0554" w:rsidRDefault="00000000">
      <w:pPr>
        <w:spacing w:after="10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Metoda ustalenia opłaty za gospodarowanie odpadami komunalnymi określona w art. 6j ust. 1 pkt. 1 przedmiotowej ustawy, tj. od liczby mieszkańców zamieszkujących daną nieruchomości jest najbardziej zasadna, gdyż ilość powstających odpadów uzależniona jest od liczby osób je wytwarzających; metoda ta wydaje się być najbardziej sprawiedliwa i zrozumiała dla mieszkańców. </w:t>
      </w:r>
    </w:p>
    <w:p w:rsidR="00EA0554" w:rsidRDefault="00000000">
      <w:pPr>
        <w:spacing w:after="10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Gmina nie może zrezygnować z realizacji zadania własnego jakim jest system gospodarowania odpadami komunalnymi mimo, iż może to doprowadzić do niedoboru w kosztach systemu.</w:t>
      </w:r>
    </w:p>
    <w:p w:rsidR="00EA0554" w:rsidRDefault="00000000">
      <w:pPr>
        <w:tabs>
          <w:tab w:val="left" w:pos="5670"/>
        </w:tabs>
        <w:spacing w:after="100" w:line="100" w:lineRule="atLeas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Ustawa o utrzymaniu czystości i porządku w gminach zobowiązuje również do określenia ryczałtowej stawki opłaty za gospodarowanie odpadami komunalnymi za rok od domku letniskowego na nieruchomości albo od innej nieruchomości wykorzystywanej na cele rekreacyjno-wypoczynkowe. </w:t>
      </w:r>
      <w:proofErr w:type="spellStart"/>
      <w:r>
        <w:rPr>
          <w:sz w:val="24"/>
          <w:szCs w:val="20"/>
          <w:lang w:val="en-US" w:eastAsia="en-US" w:bidi="en-US"/>
        </w:rPr>
        <w:t>Stawka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nie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może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być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wyższa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niż</w:t>
      </w:r>
      <w:proofErr w:type="spellEnd"/>
      <w:r>
        <w:rPr>
          <w:sz w:val="24"/>
          <w:szCs w:val="20"/>
          <w:lang w:val="en-US" w:eastAsia="en-US" w:bidi="en-US"/>
        </w:rPr>
        <w:t xml:space="preserve"> 10% </w:t>
      </w:r>
      <w:proofErr w:type="spellStart"/>
      <w:r>
        <w:rPr>
          <w:sz w:val="24"/>
          <w:szCs w:val="20"/>
          <w:lang w:val="en-US" w:eastAsia="en-US" w:bidi="en-US"/>
        </w:rPr>
        <w:t>przeciętnego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miesięcznego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dochodu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na</w:t>
      </w:r>
      <w:proofErr w:type="spellEnd"/>
      <w:r>
        <w:rPr>
          <w:sz w:val="24"/>
          <w:szCs w:val="20"/>
          <w:lang w:val="en-US" w:eastAsia="en-US" w:bidi="en-US"/>
        </w:rPr>
        <w:t xml:space="preserve"> 1 </w:t>
      </w:r>
      <w:proofErr w:type="spellStart"/>
      <w:r>
        <w:rPr>
          <w:sz w:val="24"/>
          <w:szCs w:val="20"/>
          <w:lang w:val="en-US" w:eastAsia="en-US" w:bidi="en-US"/>
        </w:rPr>
        <w:t>osobę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ogółem</w:t>
      </w:r>
      <w:proofErr w:type="spellEnd"/>
      <w:r>
        <w:rPr>
          <w:sz w:val="24"/>
          <w:szCs w:val="20"/>
          <w:lang w:val="en-US" w:eastAsia="en-US" w:bidi="en-US"/>
        </w:rPr>
        <w:t xml:space="preserve">. Na </w:t>
      </w:r>
      <w:proofErr w:type="spellStart"/>
      <w:r>
        <w:rPr>
          <w:sz w:val="24"/>
          <w:szCs w:val="20"/>
          <w:lang w:val="en-US" w:eastAsia="en-US" w:bidi="en-US"/>
        </w:rPr>
        <w:t>dzień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podjęcia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niniejszej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uchwały</w:t>
      </w:r>
      <w:proofErr w:type="spellEnd"/>
      <w:r>
        <w:rPr>
          <w:sz w:val="24"/>
          <w:szCs w:val="20"/>
          <w:lang w:val="en-US" w:eastAsia="en-US" w:bidi="en-US"/>
        </w:rPr>
        <w:t xml:space="preserve"> - </w:t>
      </w:r>
      <w:proofErr w:type="spellStart"/>
      <w:r>
        <w:rPr>
          <w:sz w:val="24"/>
          <w:szCs w:val="20"/>
          <w:lang w:val="en-US" w:eastAsia="en-US" w:bidi="en-US"/>
        </w:rPr>
        <w:t>maksymalna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ryczałtowa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stawka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nie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może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być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wyższa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niż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lang w:val="en-US" w:eastAsia="en-US" w:bidi="en-US"/>
        </w:rPr>
        <w:t xml:space="preserve">206,19 </w:t>
      </w:r>
      <w:proofErr w:type="spellStart"/>
      <w:r>
        <w:rPr>
          <w:color w:val="000000"/>
          <w:sz w:val="24"/>
          <w:szCs w:val="20"/>
          <w:lang w:val="en-US" w:eastAsia="en-US" w:bidi="en-US"/>
        </w:rPr>
        <w:t>zł</w:t>
      </w:r>
      <w:proofErr w:type="spellEnd"/>
      <w:r>
        <w:rPr>
          <w:sz w:val="24"/>
          <w:szCs w:val="20"/>
          <w:lang w:val="en-US" w:eastAsia="en-US" w:bidi="en-US"/>
        </w:rPr>
        <w:t>.</w:t>
      </w:r>
    </w:p>
    <w:p w:rsidR="00EA0554" w:rsidRDefault="00000000">
      <w:pPr>
        <w:tabs>
          <w:tab w:val="left" w:pos="5670"/>
        </w:tabs>
        <w:spacing w:after="40" w:line="100" w:lineRule="atLeast"/>
        <w:rPr>
          <w:sz w:val="24"/>
          <w:szCs w:val="20"/>
          <w:lang w:val="en-US" w:eastAsia="en-US" w:bidi="en-US"/>
        </w:rPr>
      </w:pPr>
      <w:proofErr w:type="spellStart"/>
      <w:r>
        <w:rPr>
          <w:sz w:val="24"/>
          <w:szCs w:val="20"/>
          <w:lang w:val="en-US" w:eastAsia="en-US" w:bidi="en-US"/>
        </w:rPr>
        <w:t>Stawki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opłat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ustalono</w:t>
      </w:r>
      <w:proofErr w:type="spellEnd"/>
      <w:r>
        <w:rPr>
          <w:sz w:val="24"/>
          <w:szCs w:val="20"/>
          <w:lang w:val="en-US" w:eastAsia="en-US" w:bidi="en-US"/>
        </w:rPr>
        <w:t xml:space="preserve"> w </w:t>
      </w:r>
      <w:proofErr w:type="spellStart"/>
      <w:r>
        <w:rPr>
          <w:sz w:val="24"/>
          <w:szCs w:val="20"/>
          <w:lang w:val="en-US" w:eastAsia="en-US" w:bidi="en-US"/>
        </w:rPr>
        <w:t>oparciu</w:t>
      </w:r>
      <w:proofErr w:type="spellEnd"/>
      <w:r>
        <w:rPr>
          <w:sz w:val="24"/>
          <w:szCs w:val="20"/>
          <w:lang w:val="en-US" w:eastAsia="en-US" w:bidi="en-US"/>
        </w:rPr>
        <w:t xml:space="preserve"> o:</w:t>
      </w:r>
    </w:p>
    <w:p w:rsidR="00EA0554" w:rsidRDefault="00000000">
      <w:pPr>
        <w:numPr>
          <w:ilvl w:val="0"/>
          <w:numId w:val="1"/>
        </w:numPr>
        <w:tabs>
          <w:tab w:val="left" w:pos="5670"/>
        </w:tabs>
        <w:spacing w:after="40" w:line="100" w:lineRule="atLeast"/>
        <w:ind w:left="641" w:hanging="357"/>
        <w:rPr>
          <w:color w:val="000000"/>
          <w:sz w:val="24"/>
          <w:szCs w:val="20"/>
          <w:lang w:val="en-US" w:eastAsia="en-US" w:bidi="en-US"/>
        </w:rPr>
      </w:pPr>
      <w:proofErr w:type="spellStart"/>
      <w:r>
        <w:rPr>
          <w:sz w:val="24"/>
          <w:szCs w:val="20"/>
          <w:lang w:val="en-US" w:eastAsia="en-US" w:bidi="en-US"/>
        </w:rPr>
        <w:t>przeprowadzoną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analizę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zapisów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ustawy</w:t>
      </w:r>
      <w:proofErr w:type="spellEnd"/>
      <w:r>
        <w:rPr>
          <w:sz w:val="24"/>
          <w:szCs w:val="20"/>
          <w:lang w:val="en-US" w:eastAsia="en-US" w:bidi="en-US"/>
        </w:rPr>
        <w:t xml:space="preserve"> o </w:t>
      </w:r>
      <w:proofErr w:type="spellStart"/>
      <w:r>
        <w:rPr>
          <w:sz w:val="24"/>
          <w:szCs w:val="20"/>
          <w:lang w:val="en-US" w:eastAsia="en-US" w:bidi="en-US"/>
        </w:rPr>
        <w:t>utrzymanie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czystości</w:t>
      </w:r>
      <w:proofErr w:type="spellEnd"/>
      <w:r>
        <w:rPr>
          <w:sz w:val="24"/>
          <w:szCs w:val="20"/>
          <w:lang w:val="en-US" w:eastAsia="en-US" w:bidi="en-US"/>
        </w:rPr>
        <w:tab/>
      </w:r>
      <w:proofErr w:type="spellStart"/>
      <w:r>
        <w:rPr>
          <w:sz w:val="24"/>
          <w:szCs w:val="20"/>
          <w:lang w:val="en-US" w:eastAsia="en-US" w:bidi="en-US"/>
        </w:rPr>
        <w:t>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porządku</w:t>
      </w:r>
      <w:proofErr w:type="spellEnd"/>
      <w:r>
        <w:rPr>
          <w:sz w:val="24"/>
          <w:szCs w:val="20"/>
          <w:lang w:val="en-US" w:eastAsia="en-US" w:bidi="en-US"/>
        </w:rPr>
        <w:t xml:space="preserve"> w </w:t>
      </w:r>
      <w:proofErr w:type="spellStart"/>
      <w:r>
        <w:rPr>
          <w:sz w:val="24"/>
          <w:szCs w:val="20"/>
          <w:lang w:val="en-US" w:eastAsia="en-US" w:bidi="en-US"/>
        </w:rPr>
        <w:t>gminach</w:t>
      </w:r>
      <w:proofErr w:type="spellEnd"/>
      <w:r>
        <w:rPr>
          <w:sz w:val="24"/>
          <w:szCs w:val="20"/>
          <w:lang w:val="en-US" w:eastAsia="en-US" w:bidi="en-US"/>
        </w:rPr>
        <w:t xml:space="preserve">, </w:t>
      </w:r>
    </w:p>
    <w:p w:rsidR="00EA0554" w:rsidRDefault="00000000">
      <w:pPr>
        <w:numPr>
          <w:ilvl w:val="0"/>
          <w:numId w:val="1"/>
        </w:numPr>
        <w:tabs>
          <w:tab w:val="left" w:pos="5670"/>
        </w:tabs>
        <w:spacing w:after="40" w:line="100" w:lineRule="atLeast"/>
        <w:ind w:left="641" w:hanging="357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proofErr w:type="spellStart"/>
      <w:r>
        <w:rPr>
          <w:sz w:val="24"/>
          <w:szCs w:val="20"/>
          <w:lang w:val="en-US" w:eastAsia="en-US" w:bidi="en-US"/>
        </w:rPr>
        <w:t>przeprowadzoną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analizę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systemu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gospodarki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odpadami</w:t>
      </w:r>
      <w:proofErr w:type="spellEnd"/>
      <w:r>
        <w:rPr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sz w:val="24"/>
          <w:szCs w:val="20"/>
          <w:lang w:val="en-US" w:eastAsia="en-US" w:bidi="en-US"/>
        </w:rPr>
        <w:t>który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wskazuje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tendencję wzrostową w zakresie ilości odbieranych od właścicieli nieruchomości odpadów komunalnych, w szczególności frakcji bioodpadów stanowiących odpady komunalne i odpadów selektywnych opakowaniowych (metali, tworzyw sztucznych, opakowań wielomateriałowych i szkła), </w:t>
      </w:r>
    </w:p>
    <w:p w:rsidR="00EA0554" w:rsidRDefault="00000000">
      <w:pPr>
        <w:numPr>
          <w:ilvl w:val="0"/>
          <w:numId w:val="1"/>
        </w:numPr>
        <w:tabs>
          <w:tab w:val="left" w:pos="5670"/>
        </w:tabs>
        <w:spacing w:after="40" w:line="100" w:lineRule="atLeast"/>
        <w:ind w:left="641" w:hanging="357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najkorzystniejszą ofertę wykonawcy otrzymaną w ramach ogłoszonego w dniu 4 listopada 2022r. przetargu na odbiór i zagospodarowanie odpadów komunalnych z nieruchomości zamieszkałych i  </w:t>
      </w:r>
      <w:proofErr w:type="spellStart"/>
      <w:r>
        <w:rPr>
          <w:color w:val="000000"/>
          <w:sz w:val="24"/>
          <w:szCs w:val="20"/>
          <w:shd w:val="clear" w:color="auto" w:fill="FFFFFF"/>
        </w:rPr>
        <w:t>rekreacyjno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- wypoczynkowych.</w:t>
      </w:r>
    </w:p>
    <w:p w:rsidR="00EA0554" w:rsidRDefault="00000000">
      <w:pPr>
        <w:spacing w:after="10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Rada Gminy Pacyna, w związku z obowiązkiem osiągnięcia w kolejnych latach wysokich poziomów recyklingu i przygotowania do ponownego użycia odpadów komunalnych, postanowiła, iż skutecznym sposobem osiągnięcia przedmiotowych poziomów będzie zniechęcenie właścicieli nieruchomości do niestarannego prowadzenia selektywnej zbiórki odpadów poprzez ustalenie dwukrotności podwyższonej stawki opłaty.</w:t>
      </w:r>
    </w:p>
    <w:p w:rsidR="00EA0554" w:rsidRDefault="00000000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związku z powyższym podjęcie uchwały jest uzasadnione.</w:t>
      </w:r>
    </w:p>
    <w:p w:rsidR="00EA0554" w:rsidRDefault="00EA0554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EA0554">
        <w:tc>
          <w:tcPr>
            <w:tcW w:w="2500" w:type="pct"/>
            <w:tcBorders>
              <w:right w:val="nil"/>
            </w:tcBorders>
          </w:tcPr>
          <w:p w:rsidR="00EA0554" w:rsidRDefault="00EA0554">
            <w:pPr>
              <w:spacing w:line="360" w:lineRule="auto"/>
              <w:rPr>
                <w:rFonts w:ascii="Garamond" w:hAnsi="Garamond"/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EA0554" w:rsidRDefault="00000000">
            <w:pPr>
              <w:spacing w:line="360" w:lineRule="auto"/>
              <w:jc w:val="center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fldChar w:fldCharType="begin"/>
            </w:r>
            <w:r>
              <w:rPr>
                <w:rFonts w:ascii="Garamond" w:hAnsi="Garamond"/>
                <w:sz w:val="24"/>
                <w:szCs w:val="20"/>
              </w:rPr>
              <w:instrText>SIGNATURE_0_1_FUNCTION</w:instrText>
            </w:r>
            <w:r>
              <w:rPr>
                <w:rFonts w:ascii="Garamond" w:hAnsi="Garamond"/>
                <w:sz w:val="24"/>
                <w:szCs w:val="20"/>
              </w:rPr>
              <w:fldChar w:fldCharType="separate"/>
            </w:r>
            <w:r>
              <w:rPr>
                <w:rFonts w:ascii="Garamond" w:hAnsi="Garamond"/>
                <w:sz w:val="24"/>
                <w:szCs w:val="20"/>
              </w:rPr>
              <w:t>Przewodnicząca Rady Gminy</w:t>
            </w:r>
            <w:r>
              <w:rPr>
                <w:rFonts w:ascii="Garamond" w:hAnsi="Garamond"/>
                <w:sz w:val="24"/>
                <w:szCs w:val="20"/>
              </w:rPr>
              <w:fldChar w:fldCharType="end"/>
            </w:r>
          </w:p>
          <w:p w:rsidR="00EA0554" w:rsidRDefault="00000000">
            <w:pPr>
              <w:spacing w:line="360" w:lineRule="auto"/>
              <w:jc w:val="center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 xml:space="preserve"> </w:t>
            </w:r>
          </w:p>
          <w:p w:rsidR="00EA0554" w:rsidRDefault="00000000">
            <w:pPr>
              <w:spacing w:line="360" w:lineRule="auto"/>
              <w:jc w:val="center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fldChar w:fldCharType="begin"/>
            </w:r>
            <w:r>
              <w:rPr>
                <w:rFonts w:ascii="Garamond" w:hAnsi="Garamond"/>
                <w:sz w:val="24"/>
                <w:szCs w:val="20"/>
              </w:rPr>
              <w:instrText>SIGNATURE_0_1_FIRSTNAME</w:instrText>
            </w:r>
            <w:r>
              <w:rPr>
                <w:rFonts w:ascii="Garamond" w:hAnsi="Garamond"/>
                <w:sz w:val="24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sz w:val="24"/>
                <w:szCs w:val="20"/>
              </w:rPr>
              <w:t xml:space="preserve">Maria </w:t>
            </w:r>
            <w:r>
              <w:rPr>
                <w:rFonts w:ascii="Garamond" w:hAnsi="Garamond"/>
                <w:sz w:val="24"/>
                <w:szCs w:val="20"/>
              </w:rPr>
              <w:fldChar w:fldCharType="end"/>
            </w:r>
            <w:r>
              <w:rPr>
                <w:rFonts w:ascii="Garamond" w:hAnsi="Garamond"/>
                <w:sz w:val="24"/>
                <w:szCs w:val="20"/>
              </w:rPr>
              <w:fldChar w:fldCharType="begin"/>
            </w:r>
            <w:r>
              <w:rPr>
                <w:rFonts w:ascii="Garamond" w:hAnsi="Garamond"/>
                <w:sz w:val="24"/>
                <w:szCs w:val="20"/>
              </w:rPr>
              <w:instrText>SIGNATURE_0_1_LASTNAME</w:instrText>
            </w:r>
            <w:r>
              <w:rPr>
                <w:rFonts w:ascii="Garamond" w:hAnsi="Garamond"/>
                <w:sz w:val="24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sz w:val="24"/>
                <w:szCs w:val="20"/>
              </w:rPr>
              <w:t>Obidowska</w:t>
            </w:r>
            <w:r>
              <w:rPr>
                <w:rFonts w:ascii="Garamond" w:hAnsi="Garamond"/>
                <w:sz w:val="24"/>
                <w:szCs w:val="20"/>
              </w:rPr>
              <w:fldChar w:fldCharType="end"/>
            </w:r>
          </w:p>
        </w:tc>
      </w:tr>
    </w:tbl>
    <w:p w:rsidR="00EA0554" w:rsidRDefault="00EA0554">
      <w:pPr>
        <w:spacing w:line="360" w:lineRule="auto"/>
        <w:rPr>
          <w:rFonts w:ascii="Garamond" w:hAnsi="Garamond"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EA0554" w:rsidRDefault="00EA055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A0554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298E" w:rsidRDefault="00BA298E">
      <w:r>
        <w:separator/>
      </w:r>
    </w:p>
  </w:endnote>
  <w:endnote w:type="continuationSeparator" w:id="0">
    <w:p w:rsidR="00BA298E" w:rsidRDefault="00BA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A055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A055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7A2059E4-2ADE-4EC4-8998-7900783C3503.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A055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1EC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A0554" w:rsidRDefault="00EA055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A0554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A055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7A2059E4-2ADE-4EC4-8998-7900783C3503.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A055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1EC6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EA0554" w:rsidRDefault="00EA055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298E" w:rsidRDefault="00BA298E">
      <w:r>
        <w:separator/>
      </w:r>
    </w:p>
  </w:footnote>
  <w:footnote w:type="continuationSeparator" w:id="0">
    <w:p w:rsidR="00BA298E" w:rsidRDefault="00BA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B74AB"/>
    <w:multiLevelType w:val="hybridMultilevel"/>
    <w:tmpl w:val="00000000"/>
    <w:lvl w:ilvl="0" w:tplc="F12234D4">
      <w:start w:val="1"/>
      <w:numFmt w:val="decimal"/>
      <w:lvlText w:val="%1)"/>
      <w:lvlJc w:val="left"/>
      <w:pPr>
        <w:spacing w:beforeAutospacing="0" w:after="0" w:afterAutospacing="0" w:line="240" w:lineRule="auto"/>
        <w:ind w:left="765" w:hanging="360"/>
      </w:pPr>
    </w:lvl>
    <w:lvl w:ilvl="1" w:tplc="21E49F2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85" w:hanging="360"/>
      </w:pPr>
    </w:lvl>
    <w:lvl w:ilvl="2" w:tplc="165E94B0">
      <w:start w:val="1"/>
      <w:numFmt w:val="lowerRoman"/>
      <w:lvlText w:val="%3."/>
      <w:lvlJc w:val="right"/>
      <w:pPr>
        <w:spacing w:beforeAutospacing="0" w:after="0" w:afterAutospacing="0" w:line="240" w:lineRule="auto"/>
        <w:ind w:left="2205" w:hanging="180"/>
      </w:pPr>
    </w:lvl>
    <w:lvl w:ilvl="3" w:tplc="A99C41EE">
      <w:start w:val="1"/>
      <w:numFmt w:val="decimal"/>
      <w:lvlText w:val="%4."/>
      <w:lvlJc w:val="left"/>
      <w:pPr>
        <w:spacing w:beforeAutospacing="0" w:after="0" w:afterAutospacing="0" w:line="240" w:lineRule="auto"/>
        <w:ind w:left="2925" w:hanging="360"/>
      </w:pPr>
    </w:lvl>
    <w:lvl w:ilvl="4" w:tplc="9274E1E8">
      <w:start w:val="1"/>
      <w:numFmt w:val="lowerLetter"/>
      <w:lvlText w:val="%5."/>
      <w:lvlJc w:val="left"/>
      <w:pPr>
        <w:spacing w:beforeAutospacing="0" w:after="0" w:afterAutospacing="0" w:line="240" w:lineRule="auto"/>
        <w:ind w:left="3645" w:hanging="360"/>
      </w:pPr>
    </w:lvl>
    <w:lvl w:ilvl="5" w:tplc="0D3E59E2">
      <w:start w:val="1"/>
      <w:numFmt w:val="lowerRoman"/>
      <w:lvlText w:val="%6."/>
      <w:lvlJc w:val="right"/>
      <w:pPr>
        <w:spacing w:beforeAutospacing="0" w:after="0" w:afterAutospacing="0" w:line="240" w:lineRule="auto"/>
        <w:ind w:left="4365" w:hanging="180"/>
      </w:pPr>
    </w:lvl>
    <w:lvl w:ilvl="6" w:tplc="C52CCB32">
      <w:start w:val="1"/>
      <w:numFmt w:val="decimal"/>
      <w:lvlText w:val="%7."/>
      <w:lvlJc w:val="left"/>
      <w:pPr>
        <w:spacing w:beforeAutospacing="0" w:after="0" w:afterAutospacing="0" w:line="240" w:lineRule="auto"/>
        <w:ind w:left="5085" w:hanging="360"/>
      </w:pPr>
    </w:lvl>
    <w:lvl w:ilvl="7" w:tplc="B776AD1A">
      <w:start w:val="1"/>
      <w:numFmt w:val="lowerLetter"/>
      <w:lvlText w:val="%8."/>
      <w:lvlJc w:val="left"/>
      <w:pPr>
        <w:spacing w:beforeAutospacing="0" w:after="0" w:afterAutospacing="0" w:line="240" w:lineRule="auto"/>
        <w:ind w:left="5805" w:hanging="360"/>
      </w:pPr>
    </w:lvl>
    <w:lvl w:ilvl="8" w:tplc="6AA6F4CA">
      <w:start w:val="1"/>
      <w:numFmt w:val="lowerRoman"/>
      <w:lvlText w:val="%9."/>
      <w:lvlJc w:val="right"/>
      <w:pPr>
        <w:spacing w:beforeAutospacing="0" w:after="0" w:afterAutospacing="0" w:line="240" w:lineRule="auto"/>
        <w:ind w:left="6525" w:hanging="180"/>
      </w:pPr>
    </w:lvl>
  </w:abstractNum>
  <w:num w:numId="1" w16cid:durableId="77471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81EC6"/>
    <w:rsid w:val="00A77B3E"/>
    <w:rsid w:val="00BA298E"/>
    <w:rsid w:val="00CA2A55"/>
    <w:rsid w:val="00E51E14"/>
    <w:rsid w:val="00EA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73C81"/>
  <w15:docId w15:val="{078FD7B5-39BE-4B55-8F4F-17E85E75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Pr>
      <w:rFonts w:ascii="Times New Roman" w:hAnsi="Times New Roman"/>
      <w:color w:val="auto"/>
      <w:sz w:val="24"/>
      <w:shd w:val="clear" w:color="auto" w:fill="auto"/>
      <w:lang w:val="x-none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199/XLIV/2022 z dnia 14 grudnia 2022 r.</dc:title>
  <dc:subject>w sprawie dokonania wyboru metody ustalenia opłaty za gospodarowanie odpadami komunalnymi i^ustalenia stawki takiej opłaty oraz ustalenia ryczałtowej stawki opłaty za gospodarowanie odpadami komunalnymi w^przypadku nieruchomości, na której znajduje się domek letniskowy lub innej nieruchomości wykorzystywanej na cele rekreacyjno - wypoczynkowe na terenie Gminy Pacyna oraz zwolnienia w^części z^opłaty za gospodarowanie odpadami komunalnymi właścicieli nieruchomości zabudowanych budynkami mieszkalnymi jednorodzinnymi kompostujących bioodpady stanowiące odpady komunalne w^kompostowniku przydomowym</dc:subject>
  <dc:creator>m_dutkowska</dc:creator>
  <cp:lastModifiedBy>m_dutkowska</cp:lastModifiedBy>
  <cp:revision>3</cp:revision>
  <dcterms:created xsi:type="dcterms:W3CDTF">2022-12-21T10:45:00Z</dcterms:created>
  <dcterms:modified xsi:type="dcterms:W3CDTF">2022-12-21T10:46:00Z</dcterms:modified>
  <cp:category>Akt prawny</cp:category>
</cp:coreProperties>
</file>