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5B" w:rsidRDefault="00CD0C5B" w:rsidP="00CD0C5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</w:pPr>
      <w:r>
        <w:rPr>
          <w:b/>
          <w:bCs/>
        </w:rPr>
        <w:t>ZARZĄDZENIE NR 0050</w:t>
      </w:r>
      <w:r w:rsidR="00715414">
        <w:rPr>
          <w:b/>
          <w:bCs/>
        </w:rPr>
        <w:t>.51.2021</w:t>
      </w:r>
    </w:p>
    <w:p w:rsidR="00CD0C5B" w:rsidRDefault="00CD0C5B" w:rsidP="00CD0C5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</w:pPr>
      <w:r>
        <w:rPr>
          <w:b/>
          <w:bCs/>
        </w:rPr>
        <w:t xml:space="preserve">WÓJTA GMINY PACYNA </w:t>
      </w:r>
    </w:p>
    <w:p w:rsidR="00CD0C5B" w:rsidRDefault="00A771D0" w:rsidP="00CD0C5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jc w:val="center"/>
      </w:pPr>
      <w:r>
        <w:rPr>
          <w:b/>
          <w:bCs/>
        </w:rPr>
        <w:t>z dnia 22 października 2021</w:t>
      </w:r>
      <w:r w:rsidR="00CD0C5B">
        <w:rPr>
          <w:b/>
          <w:bCs/>
        </w:rPr>
        <w:t xml:space="preserve"> roku</w:t>
      </w:r>
    </w:p>
    <w:p w:rsidR="00CD0C5B" w:rsidRDefault="00CD0C5B" w:rsidP="00CD0C5B">
      <w:pPr>
        <w:pStyle w:val="NormalnyWeb"/>
        <w:tabs>
          <w:tab w:val="left" w:pos="708"/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850" w:right="1133"/>
        <w:jc w:val="both"/>
        <w:rPr>
          <w:b/>
          <w:bCs/>
        </w:rPr>
      </w:pPr>
    </w:p>
    <w:p w:rsidR="00CD0C5B" w:rsidRDefault="00CD0C5B" w:rsidP="00CD0C5B">
      <w:pPr>
        <w:pStyle w:val="NormalnyWeb"/>
        <w:tabs>
          <w:tab w:val="left" w:pos="708"/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850" w:right="1133"/>
        <w:jc w:val="both"/>
        <w:rPr>
          <w:b/>
          <w:bCs/>
        </w:rPr>
      </w:pP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jc w:val="both"/>
      </w:pPr>
      <w:r>
        <w:rPr>
          <w:b/>
          <w:bCs/>
        </w:rPr>
        <w:t>sprawie: Wieloletniej Prognozy Finansowej Gminy Pacyna na lata 2021-2025</w:t>
      </w: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</w:pP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</w:pP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38"/>
        <w:jc w:val="both"/>
      </w:pPr>
      <w:r>
        <w:t>Na podstawie art.30, ust. 1 i 2 pkt. 4 ustawy z dnia 08 marca 1990 roku o samorządzie gminnym (tekst jednolity Dz. U. z</w:t>
      </w:r>
      <w:r>
        <w:rPr>
          <w:color w:val="000000"/>
        </w:rPr>
        <w:t xml:space="preserve"> 2021 roku poz. 1372</w:t>
      </w:r>
      <w:r>
        <w:t>) oraz art. 232 ustawy z dnia 27 sierpnia 2009 roku o finansach publicznych (tekst jednolity Dz. U. z 2021 roku, poz. 305 ze zm.) dokonuje się następujących zmian:</w:t>
      </w: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1277"/>
        <w:jc w:val="both"/>
      </w:pP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1277"/>
        <w:jc w:val="center"/>
      </w:pPr>
      <w:r>
        <w:rPr>
          <w:b/>
          <w:bCs/>
        </w:rPr>
        <w:t xml:space="preserve">               §1</w:t>
      </w: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1277"/>
      </w:pP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10"/>
        <w:jc w:val="both"/>
      </w:pPr>
      <w:r>
        <w:t>Zmienia się załącznik nr 1 stanowiący tabelaryczną prezentację Wieloletniej Prognozy Finansowej  na lata 2021-2025.</w:t>
      </w: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66"/>
        <w:jc w:val="both"/>
      </w:pPr>
      <w:r>
        <w:t>Wieloletnia Prognoza Finansowa Gminy Pacyna na lata 2021-2025 po zmianach otrzymuje brzmienie zgodnie z załącznikiem nr 1 do niniejszego zarządzenia</w:t>
      </w:r>
      <w:r w:rsidR="00D534FF">
        <w:t>.</w:t>
      </w: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  <w:jc w:val="both"/>
      </w:pP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  <w:jc w:val="both"/>
      </w:pP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  <w:rPr>
          <w:b/>
          <w:bCs/>
        </w:rPr>
      </w:pPr>
      <w:r>
        <w:rPr>
          <w:b/>
          <w:bCs/>
        </w:rPr>
        <w:t xml:space="preserve">                                               §2</w:t>
      </w:r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</w:tabs>
        <w:spacing w:after="0" w:line="276" w:lineRule="auto"/>
        <w:ind w:left="1418" w:right="567"/>
      </w:pPr>
    </w:p>
    <w:p w:rsidR="00CD0C5B" w:rsidRDefault="00CD0C5B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67"/>
      </w:pPr>
      <w:r>
        <w:t>Zarządzenie wchodzi w życie z dniem podpisania.</w:t>
      </w:r>
    </w:p>
    <w:p w:rsidR="00D534FF" w:rsidRDefault="00D534FF" w:rsidP="00CD0C5B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67"/>
      </w:pPr>
    </w:p>
    <w:p w:rsidR="00D534FF" w:rsidRDefault="00D534FF" w:rsidP="00D534FF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Wójt</w:t>
      </w:r>
    </w:p>
    <w:p w:rsidR="00D534FF" w:rsidRPr="00DC17CE" w:rsidRDefault="00D534FF" w:rsidP="00D534FF">
      <w:pPr>
        <w:jc w:val="right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D534FF" w:rsidRDefault="00D534FF" w:rsidP="00D534FF">
      <w:pPr>
        <w:pStyle w:val="NormalnyWeb"/>
        <w:tabs>
          <w:tab w:val="left" w:pos="708"/>
          <w:tab w:val="left" w:pos="200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73"/>
          <w:tab w:val="left" w:pos="8496"/>
          <w:tab w:val="left" w:pos="9204"/>
        </w:tabs>
        <w:spacing w:after="0" w:line="276" w:lineRule="auto"/>
        <w:ind w:right="567"/>
        <w:jc w:val="right"/>
      </w:pPr>
      <w:bookmarkStart w:id="0" w:name="_GoBack"/>
      <w:bookmarkEnd w:id="0"/>
    </w:p>
    <w:p w:rsidR="00CD0C5B" w:rsidRDefault="00CD0C5B" w:rsidP="00CD0C5B">
      <w:pPr>
        <w:pStyle w:val="NormalnyWeb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left="1418" w:right="567"/>
      </w:pPr>
    </w:p>
    <w:p w:rsidR="007532F5" w:rsidRDefault="007532F5"/>
    <w:sectPr w:rsidR="007532F5" w:rsidSect="00C203C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5B"/>
    <w:rsid w:val="00526CD3"/>
    <w:rsid w:val="00715414"/>
    <w:rsid w:val="007532F5"/>
    <w:rsid w:val="00A771D0"/>
    <w:rsid w:val="00CD0C5B"/>
    <w:rsid w:val="00D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E4AB-D832-47BD-BAF3-DB73940B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D0C5B"/>
    <w:pPr>
      <w:widowControl w:val="0"/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2021-10-22T11:36:00Z</cp:lastPrinted>
  <dcterms:created xsi:type="dcterms:W3CDTF">2021-11-25T12:59:00Z</dcterms:created>
  <dcterms:modified xsi:type="dcterms:W3CDTF">2021-11-25T12:59:00Z</dcterms:modified>
</cp:coreProperties>
</file>